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b2db8148a439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51020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OKRUK U OKRUGU GORNJEM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923.695,70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944.660,36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921.137,36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992.019,53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47.359,17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5.589,55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8.786,68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5.589,55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8.786,68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3.031,21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56.145,85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1852,3</w:t>
            </w:r>
          </w:p>
        </w:tc>
      </w:tr>
    </w:tbl>
    <w:p>
      <w:pPr>
        <w:spacing w:before="0" w:after="0"/>
      </w:pPr>
    </w:p>
    <w:p>
      <w:r>
        <w:t xml:space="preserve">Škola je ostavrila manajk prihoda poslovanja od 47.359,17 € . Većina se odnosi na metodološki manjak plaće prosinca 2025. godine i rashode prosinca 2025. godine.  Manjak prihoda od nefinacijske imovine iznosi 8.786,68 € nije realan jer je uprihodovan ali zbog knjigovodstvenih evidentiranja prihoda na razredu 6 a ne 7 evidentira nam manjak.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665.537,82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718.879,47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108,0</w:t>
            </w:r>
          </w:p>
        </w:tc>
      </w:tr>
    </w:tbl>
    <w:p>
      <w:pPr>
        <w:spacing w:before="0" w:after="0"/>
      </w:pPr>
    </w:p>
    <w:p>
      <w:r>
        <w:t xml:space="preserve">Odnosi se na povećanje izdatka plaće za redovan rad zbog povećanja osnovice.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4.104,18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6.253,53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152,4</w:t>
            </w:r>
          </w:p>
        </w:tc>
      </w:tr>
    </w:tbl>
    <w:p>
      <w:pPr>
        <w:spacing w:before="0" w:after="0"/>
      </w:pPr>
    </w:p>
    <w:p>
      <w:r>
        <w:t xml:space="preserve">Odnosi se na povećanje izdatka plaće za prekovremeni rad djelatnika zbog povećanja obujma zadataka.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110.847,01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120.085,15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108,3</w:t>
            </w:r>
          </w:p>
        </w:tc>
      </w:tr>
    </w:tbl>
    <w:p>
      <w:pPr>
        <w:spacing w:before="0" w:after="0"/>
      </w:pPr>
    </w:p>
    <w:p>
      <w:r>
        <w:t xml:space="preserve">Odnosi se na povećanje izdatka za obvezno zdravstveno osiguranje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117,7</w:t>
            </w:r>
          </w:p>
        </w:tc>
      </w:tr>
    </w:tbl>
    <w:p>
      <w:pPr>
        <w:spacing w:before="0" w:after="0"/>
      </w:pPr>
    </w:p>
    <w:p>
      <w:r>
        <w:t xml:space="preserve">Odnosi se na povećanje izdatka za službena putovanja djelatnika na seminare, pratnju učenika na natjecanja i ekskurziju.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2.503,04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125,5</w:t>
            </w:r>
          </w:p>
        </w:tc>
      </w:tr>
    </w:tbl>
    <w:p>
      <w:pPr>
        <w:spacing w:before="0" w:after="0"/>
      </w:pPr>
    </w:p>
    <w:p>
      <w:r>
        <w:t xml:space="preserve">Odnosi se na povećanje izdatka za komunalne usluge zbog povećanja cijene odvoza otpada.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povećanje izdatka za pristojbu zbog izbora ravnatelja.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311,0</w:t>
            </w:r>
          </w:p>
        </w:tc>
      </w:tr>
    </w:tbl>
    <w:p>
      <w:pPr>
        <w:spacing w:before="0" w:after="0"/>
      </w:pPr>
    </w:p>
    <w:p>
      <w:r>
        <w:t xml:space="preserve">Odnosi se na povećanje izdatka za cvijeće zbog smrtnih događaja.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3.031,21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56.145,85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1852,3</w:t>
            </w:r>
          </w:p>
        </w:tc>
      </w:tr>
    </w:tbl>
    <w:p>
      <w:pPr>
        <w:spacing w:before="0" w:after="0"/>
      </w:pPr>
    </w:p>
    <w:p>
      <w:r>
        <w:t xml:space="preserve">Škola je ostvarila manjak prihoda poslovanja od 56.145,85 €. Većina se odnosi na metodološki manjak plaće prosinca 2025. i rashode prosinca. 2025. te  manjak  od nefinacijske imovine koji iznosi 8.786,68 €.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16.323,49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72.469,34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444,0</w:t>
            </w:r>
          </w:p>
        </w:tc>
      </w:tr>
    </w:tbl>
    <w:p>
      <w:pPr>
        <w:spacing w:before="0" w:after="0"/>
      </w:pPr>
    </w:p>
    <w:p>
      <w:r>
        <w:t xml:space="preserve">Ostvaren je ukupni manjak prihoda i primitaka u iznosu od 72.469,34  € čija se uplata za pokriće manjka očekuje u siječnju 2026. godine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5.112,53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iznosi 5.112,53 € a odnosi se na materijalne rashode s prekoraćenjem do 60 dana. To su materijalni rashodi mjeseca prosinca. Do prekoraćenja je došlo jer uplata za materijalne rashode  nije stigla do kraja ovog izvješća.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  za nacionalno sufinanciranje odnosi  na projekt učimo zajedno VII u iznosu od 1.209,47 € i EU izvještaj europski socijalni fond odnosi se na projekt učimo zajedno VII u iznosu od 6.853,82 €. Projekt učimo zajedno VII se odnosi na pomoćnike u nastavi koji svakodnevno pružaju pomoć učenicima kako bi postigli što bolje rezultate.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d57d4f47c840ee" /></Relationships>
</file>